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949" w:rsidRDefault="009E0861" w:rsidP="006C76CB">
      <w:pPr>
        <w:spacing w:after="0" w:line="360" w:lineRule="auto"/>
        <w:jc w:val="both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  <w:b/>
        </w:rPr>
        <w:t>VOTO PARTICULAR QUE FORMULA EL COMISIONADO LUIS GUSTAVO PARRA NORIEGA, EN RELACIÓN CON LA RESO</w:t>
      </w:r>
      <w:r w:rsidR="00D32C2C" w:rsidRPr="006C76CB">
        <w:rPr>
          <w:rFonts w:ascii="Palatino Linotype" w:hAnsi="Palatino Linotype" w:cs="Tahoma"/>
          <w:b/>
        </w:rPr>
        <w:t>LUCIÓN DEL RECURSO DE REVISIÓN 0</w:t>
      </w:r>
      <w:r w:rsidR="00500949" w:rsidRPr="006C76CB">
        <w:rPr>
          <w:rFonts w:ascii="Palatino Linotype" w:hAnsi="Palatino Linotype" w:cs="Tahoma"/>
          <w:b/>
        </w:rPr>
        <w:t>3</w:t>
      </w:r>
      <w:r w:rsidR="006E1E37">
        <w:rPr>
          <w:rFonts w:ascii="Palatino Linotype" w:hAnsi="Palatino Linotype" w:cs="Tahoma"/>
          <w:b/>
        </w:rPr>
        <w:t>880</w:t>
      </w:r>
      <w:r w:rsidRPr="006C76CB">
        <w:rPr>
          <w:rFonts w:ascii="Palatino Linotype" w:hAnsi="Palatino Linotype" w:cs="Tahoma"/>
          <w:b/>
        </w:rPr>
        <w:t>/INFOEM/IP/RR/2018, PROMOVIDO EN CONTRA DE</w:t>
      </w:r>
      <w:r w:rsidR="006E1E37">
        <w:rPr>
          <w:rFonts w:ascii="Palatino Linotype" w:hAnsi="Palatino Linotype" w:cs="Tahoma"/>
          <w:b/>
        </w:rPr>
        <w:t xml:space="preserve"> LA SECRETARÍA DE LA CONTRALORÍA.</w:t>
      </w:r>
    </w:p>
    <w:p w:rsidR="006E1E37" w:rsidRPr="006C76CB" w:rsidRDefault="006E1E37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En términos de lo dispuesto por el artículo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31, segundo párrafo y 44 último párrafo, de los Lineamientos de las Sesiones del Pleno del Instituto de Transparencia, Acceso a la Información Pública y Protección de Datos Personales del Estado de México y Municipios, emito el presente </w:t>
      </w:r>
      <w:r w:rsidRPr="006C76CB">
        <w:rPr>
          <w:rFonts w:ascii="Palatino Linotype" w:hAnsi="Palatino Linotype" w:cs="Tahoma"/>
          <w:b/>
        </w:rPr>
        <w:t>Voto Particular</w:t>
      </w:r>
      <w:r w:rsidRPr="006C76CB">
        <w:rPr>
          <w:rFonts w:ascii="Palatino Linotype" w:hAnsi="Palatino Linotype" w:cs="Tahoma"/>
        </w:rPr>
        <w:t xml:space="preserve"> por no compartir en su totalidad las consideraciones que sustentan la Resolución del Recurso de Revisión </w:t>
      </w:r>
      <w:r w:rsidR="00D50D8F" w:rsidRPr="006C76CB">
        <w:rPr>
          <w:rFonts w:ascii="Palatino Linotype" w:hAnsi="Palatino Linotype" w:cs="Tahoma"/>
        </w:rPr>
        <w:t>0</w:t>
      </w:r>
      <w:r w:rsidR="00EC6DDF" w:rsidRPr="006C76CB">
        <w:rPr>
          <w:rFonts w:ascii="Palatino Linotype" w:hAnsi="Palatino Linotype" w:cs="Tahoma"/>
        </w:rPr>
        <w:t>3</w:t>
      </w:r>
      <w:r w:rsidR="006E1E37">
        <w:rPr>
          <w:rFonts w:ascii="Palatino Linotype" w:hAnsi="Palatino Linotype" w:cs="Tahoma"/>
        </w:rPr>
        <w:t>880</w:t>
      </w:r>
      <w:r w:rsidR="00D50D8F" w:rsidRPr="006C76CB">
        <w:rPr>
          <w:rFonts w:ascii="Palatino Linotype" w:hAnsi="Palatino Linotype" w:cs="Tahoma"/>
        </w:rPr>
        <w:t>/INFOEM/IP/RR/2018</w:t>
      </w:r>
      <w:r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223F64" w:rsidRDefault="00EA7E26" w:rsidP="006C76CB">
      <w:pPr>
        <w:spacing w:after="0" w:line="360" w:lineRule="auto"/>
        <w:jc w:val="both"/>
        <w:rPr>
          <w:rFonts w:ascii="Palatino Linotype" w:hAnsi="Palatino Linotype" w:cs="Tahoma"/>
          <w:i/>
        </w:rPr>
      </w:pPr>
      <w:r w:rsidRPr="006C76CB">
        <w:rPr>
          <w:rFonts w:ascii="Palatino Linotype" w:hAnsi="Palatino Linotype" w:cs="Tahoma"/>
        </w:rPr>
        <w:t>C</w:t>
      </w:r>
      <w:r w:rsidR="009E0861" w:rsidRPr="006C76CB">
        <w:rPr>
          <w:rFonts w:ascii="Palatino Linotype" w:hAnsi="Palatino Linotype" w:cs="Tahoma"/>
        </w:rPr>
        <w:t xml:space="preserve">omo se desprende de la resolución </w:t>
      </w:r>
      <w:r w:rsidRPr="006C76CB">
        <w:rPr>
          <w:rFonts w:ascii="Palatino Linotype" w:hAnsi="Palatino Linotype" w:cs="Tahoma"/>
        </w:rPr>
        <w:t>que nos ocupa</w:t>
      </w:r>
      <w:r w:rsidR="009E0861" w:rsidRPr="006C76CB">
        <w:rPr>
          <w:rFonts w:ascii="Palatino Linotype" w:hAnsi="Palatino Linotype" w:cs="Tahoma"/>
        </w:rPr>
        <w:t>, el solicitante, requirió</w:t>
      </w:r>
      <w:r w:rsidR="00243617" w:rsidRPr="006C76CB">
        <w:rPr>
          <w:rFonts w:ascii="Palatino Linotype" w:hAnsi="Palatino Linotype" w:cs="Tahoma"/>
        </w:rPr>
        <w:t xml:space="preserve"> </w:t>
      </w:r>
      <w:r w:rsidR="00041B19">
        <w:rPr>
          <w:rFonts w:ascii="Palatino Linotype" w:hAnsi="Palatino Linotype" w:cs="Tahoma"/>
        </w:rPr>
        <w:t>del ex C</w:t>
      </w:r>
      <w:r w:rsidR="00793961">
        <w:rPr>
          <w:rFonts w:ascii="Palatino Linotype" w:hAnsi="Palatino Linotype" w:cs="Tahoma"/>
        </w:rPr>
        <w:t xml:space="preserve">ontralor del Grupo Aeroportuario </w:t>
      </w:r>
      <w:r w:rsidR="00041B19">
        <w:rPr>
          <w:rFonts w:ascii="Palatino Linotype" w:hAnsi="Palatino Linotype" w:cs="Tahoma"/>
        </w:rPr>
        <w:t>de la Ciudad de México</w:t>
      </w:r>
      <w:r w:rsidR="009A18B3">
        <w:rPr>
          <w:rFonts w:ascii="Palatino Linotype" w:hAnsi="Palatino Linotype" w:cs="Tahoma"/>
        </w:rPr>
        <w:t>,</w:t>
      </w:r>
      <w:r w:rsidR="00041B19">
        <w:rPr>
          <w:rFonts w:ascii="Palatino Linotype" w:hAnsi="Palatino Linotype" w:cs="Tahoma"/>
        </w:rPr>
        <w:t xml:space="preserve"> actual Contralor del Gobierno del Estado </w:t>
      </w:r>
      <w:r w:rsidR="00041B19" w:rsidRPr="00041B19">
        <w:rPr>
          <w:rFonts w:ascii="Palatino Linotype" w:hAnsi="Palatino Linotype" w:cs="Tahoma"/>
          <w:i/>
        </w:rPr>
        <w:t xml:space="preserve">la </w:t>
      </w:r>
      <w:r w:rsidR="00793961" w:rsidRPr="00041B19">
        <w:rPr>
          <w:rFonts w:ascii="Palatino Linotype" w:hAnsi="Palatino Linotype"/>
          <w:i/>
          <w:color w:val="000000"/>
        </w:rPr>
        <w:t>fecha en que fue alertado sobre el hallazgo dentro del campamen</w:t>
      </w:r>
      <w:bookmarkStart w:id="0" w:name="_GoBack"/>
      <w:bookmarkEnd w:id="0"/>
      <w:r w:rsidR="00793961" w:rsidRPr="00041B19">
        <w:rPr>
          <w:rFonts w:ascii="Palatino Linotype" w:hAnsi="Palatino Linotype"/>
          <w:i/>
          <w:color w:val="000000"/>
        </w:rPr>
        <w:t xml:space="preserve">to en el </w:t>
      </w:r>
      <w:proofErr w:type="spellStart"/>
      <w:r w:rsidR="00793961" w:rsidRPr="00041B19">
        <w:rPr>
          <w:rFonts w:ascii="Palatino Linotype" w:hAnsi="Palatino Linotype"/>
          <w:i/>
          <w:color w:val="000000"/>
        </w:rPr>
        <w:t>area</w:t>
      </w:r>
      <w:proofErr w:type="spellEnd"/>
      <w:r w:rsidR="00793961" w:rsidRPr="00041B19">
        <w:rPr>
          <w:rFonts w:ascii="Palatino Linotype" w:hAnsi="Palatino Linotype"/>
          <w:i/>
          <w:color w:val="000000"/>
        </w:rPr>
        <w:t xml:space="preserve"> de cocina, donde se encontraban muchos bienes de origen desconocido, regalos televisiones entre otros, recibidos en fuertes cantidades y que después se pasaron a un dormitorio del campamento en GACM , copia del oficio , expediente y del listado de bienes que saco la </w:t>
      </w:r>
      <w:proofErr w:type="spellStart"/>
      <w:r w:rsidR="00793961" w:rsidRPr="00041B19">
        <w:rPr>
          <w:rFonts w:ascii="Palatino Linotype" w:hAnsi="Palatino Linotype"/>
          <w:i/>
          <w:color w:val="000000"/>
        </w:rPr>
        <w:t>contraloria</w:t>
      </w:r>
      <w:proofErr w:type="spellEnd"/>
      <w:r w:rsidR="00793961" w:rsidRPr="00041B19">
        <w:rPr>
          <w:rFonts w:ascii="Palatino Linotype" w:hAnsi="Palatino Linotype"/>
          <w:i/>
          <w:color w:val="000000"/>
        </w:rPr>
        <w:t xml:space="preserve"> interna de GACM Vilchis y su compañero Diego , </w:t>
      </w:r>
      <w:proofErr w:type="spellStart"/>
      <w:r w:rsidR="00793961" w:rsidRPr="00041B19">
        <w:rPr>
          <w:rFonts w:ascii="Palatino Linotype" w:hAnsi="Palatino Linotype"/>
          <w:i/>
          <w:color w:val="000000"/>
        </w:rPr>
        <w:t>asi</w:t>
      </w:r>
      <w:proofErr w:type="spellEnd"/>
      <w:r w:rsidR="00793961" w:rsidRPr="00041B19">
        <w:rPr>
          <w:rFonts w:ascii="Palatino Linotype" w:hAnsi="Palatino Linotype"/>
          <w:i/>
          <w:color w:val="000000"/>
        </w:rPr>
        <w:t xml:space="preserve"> como quien ingreso esos bienes al campamento y </w:t>
      </w:r>
      <w:proofErr w:type="spellStart"/>
      <w:r w:rsidR="00793961" w:rsidRPr="00041B19">
        <w:rPr>
          <w:rFonts w:ascii="Palatino Linotype" w:hAnsi="Palatino Linotype"/>
          <w:i/>
          <w:color w:val="000000"/>
        </w:rPr>
        <w:t>cual</w:t>
      </w:r>
      <w:proofErr w:type="spellEnd"/>
      <w:r w:rsidR="00793961" w:rsidRPr="00041B19">
        <w:rPr>
          <w:rFonts w:ascii="Palatino Linotype" w:hAnsi="Palatino Linotype"/>
          <w:i/>
          <w:color w:val="000000"/>
        </w:rPr>
        <w:t xml:space="preserve"> fue su destino final , se requiere para su próxima comparecencia” (Sic).</w:t>
      </w:r>
      <w:r w:rsidR="00041B19">
        <w:rPr>
          <w:rFonts w:ascii="Palatino Linotype" w:hAnsi="Palatino Linotype" w:cs="Tahoma"/>
        </w:rPr>
        <w:t xml:space="preserve"> E</w:t>
      </w:r>
      <w:r w:rsidR="0047538D" w:rsidRPr="006C76CB">
        <w:rPr>
          <w:rFonts w:ascii="Palatino Linotype" w:hAnsi="Palatino Linotype" w:cs="Tahoma"/>
        </w:rPr>
        <w:t>n la Resolución se determinó confirmar la incompetencia del Sujeto Obligado para poseer en sus archivos la información solicita</w:t>
      </w:r>
      <w:r w:rsidR="00041B19">
        <w:rPr>
          <w:rFonts w:ascii="Palatino Linotype" w:hAnsi="Palatino Linotype" w:cs="Tahoma"/>
        </w:rPr>
        <w:t xml:space="preserve"> al tratarse de un Sujeto Obligado distinto y del ámbito Federal por lo que </w:t>
      </w:r>
      <w:r w:rsidR="0047538D" w:rsidRPr="006C76CB">
        <w:rPr>
          <w:rFonts w:ascii="Palatino Linotype" w:hAnsi="Palatino Linotype" w:cs="Tahoma"/>
        </w:rPr>
        <w:t xml:space="preserve">se instruye haga </w:t>
      </w:r>
      <w:r w:rsidR="0047538D" w:rsidRPr="006C76CB">
        <w:rPr>
          <w:rFonts w:ascii="Palatino Linotype" w:hAnsi="Palatino Linotype" w:cs="Tahoma"/>
        </w:rPr>
        <w:lastRenderedPageBreak/>
        <w:t xml:space="preserve">entrega de: </w:t>
      </w:r>
      <w:r w:rsidR="00041B19" w:rsidRPr="00041B19">
        <w:rPr>
          <w:rFonts w:ascii="Palatino Linotype" w:hAnsi="Palatino Linotype" w:cs="Tahoma"/>
          <w:i/>
        </w:rPr>
        <w:t>El Acuerdo que emita el Comité de Transparencia en el que se confirme la declaración de incompetencia del Sujeto Obligado respecto de la información solicitada</w:t>
      </w:r>
      <w:r w:rsidR="00041B19">
        <w:rPr>
          <w:rFonts w:ascii="Palatino Linotype" w:hAnsi="Palatino Linotype" w:cs="Tahoma"/>
          <w:i/>
        </w:rPr>
        <w:t>.</w:t>
      </w:r>
    </w:p>
    <w:p w:rsidR="00041B19" w:rsidRPr="006C76CB" w:rsidRDefault="00041B19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En ese sentido, indudablemente coincido con los argumentos, el estudio y la exhaustividad seguida por </w:t>
      </w:r>
      <w:r w:rsidR="00962B86" w:rsidRPr="006C76CB">
        <w:rPr>
          <w:rFonts w:ascii="Palatino Linotype" w:hAnsi="Palatino Linotype" w:cs="Tahoma"/>
        </w:rPr>
        <w:t>e</w:t>
      </w:r>
      <w:r w:rsidRPr="006C76CB">
        <w:rPr>
          <w:rFonts w:ascii="Palatino Linotype" w:hAnsi="Palatino Linotype" w:cs="Tahoma"/>
        </w:rPr>
        <w:t>l Comisionad</w:t>
      </w:r>
      <w:r w:rsidR="00962B86" w:rsidRPr="006C76CB">
        <w:rPr>
          <w:rFonts w:ascii="Palatino Linotype" w:hAnsi="Palatino Linotype" w:cs="Tahoma"/>
        </w:rPr>
        <w:t>o</w:t>
      </w:r>
      <w:r w:rsidRPr="006C76CB">
        <w:rPr>
          <w:rFonts w:ascii="Palatino Linotype" w:hAnsi="Palatino Linotype" w:cs="Tahoma"/>
        </w:rPr>
        <w:t xml:space="preserve"> Ponente, que permiten dilucidar con claridad que 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 carece de atribuciones y/o competencias para contar con la información</w:t>
      </w:r>
      <w:r w:rsidR="00412CB2" w:rsidRPr="006C76CB">
        <w:rPr>
          <w:rFonts w:ascii="Palatino Linotype" w:hAnsi="Palatino Linotype" w:cs="Tahoma"/>
        </w:rPr>
        <w:t xml:space="preserve"> precisada y</w:t>
      </w:r>
      <w:r w:rsidRPr="006C76CB">
        <w:rPr>
          <w:rFonts w:ascii="Palatino Linotype" w:hAnsi="Palatino Linotype" w:cs="Tahoma"/>
        </w:rPr>
        <w:t xml:space="preserve"> que interesa al ahora recurrente</w:t>
      </w:r>
      <w:r w:rsidR="00412CB2" w:rsidRPr="006C76CB">
        <w:rPr>
          <w:rFonts w:ascii="Palatino Linotype" w:hAnsi="Palatino Linotype" w:cs="Tahoma"/>
        </w:rPr>
        <w:t>;</w:t>
      </w:r>
      <w:r w:rsidRPr="006C76CB">
        <w:rPr>
          <w:rFonts w:ascii="Palatino Linotype" w:hAnsi="Palatino Linotype" w:cs="Tahoma"/>
        </w:rPr>
        <w:t xml:space="preserve"> sin embargo</w:t>
      </w:r>
      <w:r w:rsidR="0010688C" w:rsidRPr="006C76CB">
        <w:rPr>
          <w:rFonts w:ascii="Palatino Linotype" w:hAnsi="Palatino Linotype" w:cs="Tahoma"/>
        </w:rPr>
        <w:t>,</w:t>
      </w:r>
      <w:r w:rsidRPr="006C76CB">
        <w:rPr>
          <w:rFonts w:ascii="Palatino Linotype" w:hAnsi="Palatino Linotype" w:cs="Tahoma"/>
        </w:rPr>
        <w:t xml:space="preserve"> difiero en la instrucción conten</w:t>
      </w:r>
      <w:r w:rsidR="0010688C" w:rsidRPr="006C76CB">
        <w:rPr>
          <w:rFonts w:ascii="Palatino Linotype" w:hAnsi="Palatino Linotype" w:cs="Tahoma"/>
        </w:rPr>
        <w:t>ida</w:t>
      </w:r>
      <w:r w:rsidRPr="006C76CB">
        <w:rPr>
          <w:rFonts w:ascii="Palatino Linotype" w:hAnsi="Palatino Linotype" w:cs="Tahoma"/>
        </w:rPr>
        <w:t xml:space="preserve"> en</w:t>
      </w:r>
      <w:r w:rsidR="00246FAF" w:rsidRPr="006C76CB">
        <w:rPr>
          <w:rFonts w:ascii="Palatino Linotype" w:hAnsi="Palatino Linotype" w:cs="Tahoma"/>
        </w:rPr>
        <w:t xml:space="preserve"> </w:t>
      </w:r>
      <w:r w:rsidRPr="006C76CB">
        <w:rPr>
          <w:rFonts w:ascii="Palatino Linotype" w:hAnsi="Palatino Linotype" w:cs="Tahoma"/>
        </w:rPr>
        <w:t xml:space="preserve">la </w:t>
      </w:r>
      <w:r w:rsidR="0010688C" w:rsidRPr="006C76CB">
        <w:rPr>
          <w:rFonts w:ascii="Palatino Linotype" w:hAnsi="Palatino Linotype" w:cs="Tahoma"/>
        </w:rPr>
        <w:t>R</w:t>
      </w:r>
      <w:r w:rsidRPr="006C76CB">
        <w:rPr>
          <w:rFonts w:ascii="Palatino Linotype" w:hAnsi="Palatino Linotype" w:cs="Tahoma"/>
        </w:rPr>
        <w:t>esolución que nos atañe, pues desde mi óptica, ordenar al Comité de Transparencia</w:t>
      </w:r>
      <w:r w:rsidR="0010688C" w:rsidRPr="006C76CB">
        <w:rPr>
          <w:rFonts w:ascii="Palatino Linotype" w:hAnsi="Palatino Linotype" w:cs="Tahoma"/>
        </w:rPr>
        <w:t xml:space="preserve"> del </w:t>
      </w:r>
      <w:r w:rsidR="009039FE" w:rsidRPr="006C76CB">
        <w:rPr>
          <w:rFonts w:ascii="Palatino Linotype" w:hAnsi="Palatino Linotype" w:cs="Tahoma"/>
        </w:rPr>
        <w:t>Sujeto Obligado</w:t>
      </w:r>
      <w:r w:rsidR="0010688C" w:rsidRPr="006C76CB">
        <w:rPr>
          <w:rFonts w:ascii="Palatino Linotype" w:hAnsi="Palatino Linotype" w:cs="Tahoma"/>
        </w:rPr>
        <w:t xml:space="preserve"> que sesione para que </w:t>
      </w:r>
      <w:r w:rsidRPr="006C76CB">
        <w:rPr>
          <w:rFonts w:ascii="Palatino Linotype" w:hAnsi="Palatino Linotype" w:cs="Tahoma"/>
        </w:rPr>
        <w:t>emit</w:t>
      </w:r>
      <w:r w:rsidR="00962B86" w:rsidRPr="006C76CB">
        <w:rPr>
          <w:rFonts w:ascii="Palatino Linotype" w:hAnsi="Palatino Linotype" w:cs="Tahoma"/>
        </w:rPr>
        <w:t>a un Acuerdo</w:t>
      </w:r>
      <w:r w:rsidRPr="006C76CB">
        <w:rPr>
          <w:rFonts w:ascii="Palatino Linotype" w:hAnsi="Palatino Linotype" w:cs="Tahoma"/>
        </w:rPr>
        <w:t xml:space="preserve"> en </w:t>
      </w:r>
      <w:r w:rsidR="00962B86" w:rsidRPr="006C76CB">
        <w:rPr>
          <w:rFonts w:ascii="Palatino Linotype" w:hAnsi="Palatino Linotype" w:cs="Tahoma"/>
        </w:rPr>
        <w:t>e</w:t>
      </w:r>
      <w:r w:rsidRPr="006C76CB">
        <w:rPr>
          <w:rFonts w:ascii="Palatino Linotype" w:hAnsi="Palatino Linotype" w:cs="Tahoma"/>
        </w:rPr>
        <w:t>l que confirme la</w:t>
      </w:r>
      <w:r w:rsidR="009F6E4A" w:rsidRPr="006C76CB">
        <w:rPr>
          <w:rFonts w:ascii="Palatino Linotype" w:hAnsi="Palatino Linotype" w:cs="Tahoma"/>
        </w:rPr>
        <w:t xml:space="preserve"> declaratoria</w:t>
      </w:r>
      <w:r w:rsidRPr="006C76CB">
        <w:rPr>
          <w:rFonts w:ascii="Palatino Linotype" w:hAnsi="Palatino Linotype" w:cs="Tahoma"/>
        </w:rPr>
        <w:t xml:space="preserve"> </w:t>
      </w:r>
      <w:r w:rsidR="009F6E4A" w:rsidRPr="006C76CB">
        <w:rPr>
          <w:rFonts w:ascii="Palatino Linotype" w:hAnsi="Palatino Linotype" w:cs="Tahoma"/>
        </w:rPr>
        <w:t xml:space="preserve">de </w:t>
      </w:r>
      <w:r w:rsidRPr="006C76CB">
        <w:rPr>
          <w:rFonts w:ascii="Palatino Linotype" w:hAnsi="Palatino Linotype" w:cs="Tahoma"/>
        </w:rPr>
        <w:t xml:space="preserve">incompetencia para contar con la información, causa un perjuicio al derecho de acceso a la información del solicitante, en tanto que dilata los plazos del procedimiento, </w:t>
      </w:r>
      <w:r w:rsidR="00526DBD" w:rsidRPr="006C76CB">
        <w:rPr>
          <w:rFonts w:ascii="Palatino Linotype" w:hAnsi="Palatino Linotype" w:cs="Tahoma"/>
        </w:rPr>
        <w:t xml:space="preserve">genera una carga adicional al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 y </w:t>
      </w:r>
      <w:r w:rsidR="00526DBD" w:rsidRPr="006C76CB">
        <w:rPr>
          <w:rFonts w:ascii="Palatino Linotype" w:hAnsi="Palatino Linotype" w:cs="Tahoma"/>
        </w:rPr>
        <w:t>ello no</w:t>
      </w:r>
      <w:r w:rsidR="008F3B5A" w:rsidRPr="006C76CB">
        <w:rPr>
          <w:rFonts w:ascii="Palatino Linotype" w:hAnsi="Palatino Linotype" w:cs="Tahoma"/>
        </w:rPr>
        <w:t xml:space="preserve"> </w:t>
      </w:r>
      <w:r w:rsidR="00526DBD" w:rsidRPr="006C76CB">
        <w:rPr>
          <w:rFonts w:ascii="Palatino Linotype" w:hAnsi="Palatino Linotype" w:cs="Tahoma"/>
        </w:rPr>
        <w:t>m</w:t>
      </w:r>
      <w:r w:rsidR="00E656C1" w:rsidRPr="006C76CB">
        <w:rPr>
          <w:rFonts w:ascii="Palatino Linotype" w:hAnsi="Palatino Linotype" w:cs="Tahoma"/>
        </w:rPr>
        <w:t>o</w:t>
      </w:r>
      <w:r w:rsidR="00526DBD" w:rsidRPr="006C76CB">
        <w:rPr>
          <w:rFonts w:ascii="Palatino Linotype" w:hAnsi="Palatino Linotype" w:cs="Tahoma"/>
        </w:rPr>
        <w:t xml:space="preserve">difica el hecho de que el recurrente no obtendrá mayor información </w:t>
      </w:r>
      <w:r w:rsidR="00246FAF" w:rsidRPr="006C76CB">
        <w:rPr>
          <w:rFonts w:ascii="Palatino Linotype" w:hAnsi="Palatino Linotype" w:cs="Tahoma"/>
        </w:rPr>
        <w:t>a</w:t>
      </w:r>
      <w:r w:rsidR="00526DBD" w:rsidRPr="006C76CB">
        <w:rPr>
          <w:rFonts w:ascii="Palatino Linotype" w:hAnsi="Palatino Linotype" w:cs="Tahoma"/>
        </w:rPr>
        <w:t xml:space="preserve"> la ya contenida en la Resolución que se </w:t>
      </w:r>
      <w:r w:rsidR="00246FAF" w:rsidRPr="006C76CB">
        <w:rPr>
          <w:rFonts w:ascii="Palatino Linotype" w:hAnsi="Palatino Linotype" w:cs="Tahoma"/>
        </w:rPr>
        <w:t>le notificará</w:t>
      </w:r>
      <w:r w:rsidR="00526DBD"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Por ende, instruir al Comité de Transparencia para que sesione y emita una resolución confirmando una incompetencia que ya fue declarada y an</w:t>
      </w:r>
      <w:r w:rsidR="00E656C1" w:rsidRPr="006C76CB">
        <w:rPr>
          <w:rFonts w:ascii="Palatino Linotype" w:hAnsi="Palatino Linotype" w:cs="Tahoma"/>
        </w:rPr>
        <w:t>alizada exhaustivamente por el Pleno de este</w:t>
      </w:r>
      <w:r w:rsidRPr="006C76CB">
        <w:rPr>
          <w:rFonts w:ascii="Palatino Linotype" w:hAnsi="Palatino Linotype" w:cs="Tahoma"/>
        </w:rPr>
        <w:t xml:space="preserve"> Instituto, se aparta de los principios de sencillez y rapidez establecidos por la Ley de Transparencia y Acceso a la Información Pública de</w:t>
      </w:r>
      <w:r w:rsidR="00E656C1" w:rsidRPr="006C76CB">
        <w:rPr>
          <w:rFonts w:ascii="Palatino Linotype" w:hAnsi="Palatino Linotype" w:cs="Tahoma"/>
        </w:rPr>
        <w:t>l Estado de México y Municipios, en sus artículos 2°, fracciones II y III, 21 y 150.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Con la finalidad de demostrar lo anterior, conviene traer a colación el Titulo Segundo, Capítulo II, de la Ley de Transparencia y Acceso a la Información Pública del Estado de México y Municipios, que lleva por título “De los Comités de Transparencia”, el cual indica</w:t>
      </w:r>
      <w:r w:rsidR="00CD4339" w:rsidRPr="006C76CB">
        <w:rPr>
          <w:rFonts w:ascii="Palatino Linotype" w:hAnsi="Palatino Linotype" w:cs="Tahoma"/>
        </w:rPr>
        <w:t xml:space="preserve"> en sus artículos 47 y 49, fracción II</w:t>
      </w:r>
      <w:r w:rsidRPr="006C76CB">
        <w:rPr>
          <w:rFonts w:ascii="Palatino Linotype" w:hAnsi="Palatino Linotype" w:cs="Tahoma"/>
        </w:rPr>
        <w:t>, esencialmente, lo siguiente: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lastRenderedPageBreak/>
        <w:t xml:space="preserve">Que el Comité de Transparencia es la autoridad máxima al interior del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 en materia del derecho de acceso a la información;</w:t>
      </w:r>
    </w:p>
    <w:p w:rsidR="009E0861" w:rsidRPr="006C76CB" w:rsidRDefault="009E0861" w:rsidP="006C76CB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</w:rPr>
        <w:t xml:space="preserve">Que los Comités de Transparencia </w:t>
      </w:r>
      <w:r w:rsidRPr="006C76CB">
        <w:rPr>
          <w:rFonts w:ascii="Palatino Linotype" w:hAnsi="Palatino Linotype" w:cs="Tahoma"/>
          <w:u w:val="single"/>
        </w:rPr>
        <w:t xml:space="preserve">cuentan con atribuciones para confirmar, modificar o revocar las determinaciones </w:t>
      </w:r>
      <w:proofErr w:type="gramStart"/>
      <w:r w:rsidRPr="006C76CB">
        <w:rPr>
          <w:rFonts w:ascii="Palatino Linotype" w:hAnsi="Palatino Linotype" w:cs="Tahoma"/>
          <w:u w:val="single"/>
        </w:rPr>
        <w:t>que</w:t>
      </w:r>
      <w:proofErr w:type="gramEnd"/>
      <w:r w:rsidRPr="006C76CB">
        <w:rPr>
          <w:rFonts w:ascii="Palatino Linotype" w:hAnsi="Palatino Linotype" w:cs="Tahoma"/>
          <w:u w:val="single"/>
        </w:rPr>
        <w:t xml:space="preserve"> en materia</w:t>
      </w:r>
      <w:r w:rsidRPr="006C76CB">
        <w:rPr>
          <w:rFonts w:ascii="Palatino Linotype" w:hAnsi="Palatino Linotype" w:cs="Tahoma"/>
        </w:rPr>
        <w:t xml:space="preserve"> de</w:t>
      </w:r>
      <w:r w:rsidR="00BF1384" w:rsidRPr="006C76CB">
        <w:rPr>
          <w:rFonts w:ascii="Palatino Linotype" w:hAnsi="Palatino Linotype" w:cs="Tahoma"/>
        </w:rPr>
        <w:t xml:space="preserve"> </w:t>
      </w:r>
      <w:r w:rsidRPr="006C76CB">
        <w:rPr>
          <w:rFonts w:ascii="Palatino Linotype" w:hAnsi="Palatino Linotype" w:cs="Tahoma"/>
        </w:rPr>
        <w:t>ampliación del plazo de respuesta, clasificación de la información y declaración de inexistencia</w:t>
      </w:r>
      <w:r w:rsidR="008F3B5A" w:rsidRPr="006C76CB">
        <w:rPr>
          <w:rFonts w:ascii="Palatino Linotype" w:hAnsi="Palatino Linotype" w:cs="Tahoma"/>
        </w:rPr>
        <w:t xml:space="preserve"> </w:t>
      </w:r>
      <w:r w:rsidRPr="006C76CB">
        <w:rPr>
          <w:rFonts w:ascii="Palatino Linotype" w:hAnsi="Palatino Linotype" w:cs="Tahoma"/>
        </w:rPr>
        <w:t xml:space="preserve">o </w:t>
      </w:r>
      <w:r w:rsidRPr="006C76CB">
        <w:rPr>
          <w:rFonts w:ascii="Palatino Linotype" w:hAnsi="Palatino Linotype" w:cs="Tahoma"/>
          <w:u w:val="single"/>
        </w:rPr>
        <w:t>de incompetencia realicen los titulares de las áreas de los sujetos obligados</w:t>
      </w:r>
      <w:r w:rsidR="00447F6F" w:rsidRPr="006C76CB">
        <w:rPr>
          <w:rFonts w:ascii="Palatino Linotype" w:hAnsi="Palatino Linotype" w:cs="Tahoma"/>
        </w:rPr>
        <w:t>.</w:t>
      </w:r>
    </w:p>
    <w:p w:rsidR="00447F6F" w:rsidRPr="006C76CB" w:rsidRDefault="00447F6F" w:rsidP="006C76CB">
      <w:pPr>
        <w:pStyle w:val="Prrafodelista"/>
        <w:spacing w:line="360" w:lineRule="auto"/>
        <w:rPr>
          <w:rFonts w:ascii="Palatino Linotype" w:hAnsi="Palatino Linotype" w:cs="Tahoma"/>
          <w:b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Así, de lo anterior se colige que el Comité de Transparencia es la máxima autoridad en materia del derecho de acceso a la información al interior de los sujetos obligados y que cuenta con atribuciones para </w:t>
      </w:r>
      <w:r w:rsidRPr="006C76CB">
        <w:rPr>
          <w:rFonts w:ascii="Palatino Linotype" w:hAnsi="Palatino Linotype" w:cs="Tahoma"/>
          <w:u w:val="single"/>
        </w:rPr>
        <w:t>confirmar, modificar o revocar</w:t>
      </w:r>
      <w:r w:rsidRPr="006C76CB">
        <w:rPr>
          <w:rFonts w:ascii="Palatino Linotype" w:hAnsi="Palatino Linotype" w:cs="Tahoma"/>
        </w:rPr>
        <w:t xml:space="preserve"> las </w:t>
      </w:r>
      <w:r w:rsidRPr="006C76CB">
        <w:rPr>
          <w:rFonts w:ascii="Palatino Linotype" w:hAnsi="Palatino Linotype" w:cs="Tahoma"/>
          <w:u w:val="single"/>
        </w:rPr>
        <w:t>determinaciones</w:t>
      </w:r>
      <w:r w:rsidRPr="006C76CB">
        <w:rPr>
          <w:rFonts w:ascii="Palatino Linotype" w:hAnsi="Palatino Linotype" w:cs="Tahoma"/>
        </w:rPr>
        <w:t xml:space="preserve"> </w:t>
      </w:r>
      <w:proofErr w:type="gramStart"/>
      <w:r w:rsidRPr="006C76CB">
        <w:rPr>
          <w:rFonts w:ascii="Palatino Linotype" w:hAnsi="Palatino Linotype" w:cs="Tahoma"/>
        </w:rPr>
        <w:t>que</w:t>
      </w:r>
      <w:proofErr w:type="gramEnd"/>
      <w:r w:rsidRPr="006C76CB">
        <w:rPr>
          <w:rFonts w:ascii="Palatino Linotype" w:hAnsi="Palatino Linotype" w:cs="Tahoma"/>
        </w:rPr>
        <w:t xml:space="preserve"> en materia de ampliación del plazo de respuesta, clasificación de la información y declaración de inexistencia o </w:t>
      </w:r>
      <w:r w:rsidRPr="006C76CB">
        <w:rPr>
          <w:rFonts w:ascii="Palatino Linotype" w:hAnsi="Palatino Linotype" w:cs="Tahoma"/>
          <w:u w:val="single"/>
        </w:rPr>
        <w:t>de incompetencia</w:t>
      </w:r>
      <w:r w:rsidRPr="006C76CB">
        <w:rPr>
          <w:rFonts w:ascii="Palatino Linotype" w:hAnsi="Palatino Linotype" w:cs="Tahoma"/>
        </w:rPr>
        <w:t xml:space="preserve"> realicen los titulares de las áreas de los sujetos obligados.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47538D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Por otro lado, el Título Séptimo, Capítulo I, de la Ley de Transparencia y Acceso a la Información Pública del Estado de México y Municipios, que lleva por título “Del Procedimiento de Acceso a la Información Pública”, señala lo siguiente:</w:t>
      </w:r>
    </w:p>
    <w:p w:rsidR="0047538D" w:rsidRPr="006C76CB" w:rsidRDefault="0047538D" w:rsidP="006C76CB">
      <w:pPr>
        <w:pStyle w:val="Prrafodelista"/>
        <w:spacing w:after="0" w:line="360" w:lineRule="auto"/>
        <w:jc w:val="both"/>
        <w:rPr>
          <w:rFonts w:ascii="Palatino Linotype" w:hAnsi="Palatino Linotype" w:cs="Tahoma"/>
          <w:b/>
        </w:rPr>
      </w:pPr>
    </w:p>
    <w:p w:rsidR="009E0861" w:rsidRPr="006C76CB" w:rsidRDefault="009E0861" w:rsidP="006C76CB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</w:rPr>
        <w:t xml:space="preserve">Que, cuando </w:t>
      </w:r>
      <w:r w:rsidRPr="006C76CB">
        <w:rPr>
          <w:rFonts w:ascii="Palatino Linotype" w:hAnsi="Palatino Linotype" w:cs="Tahoma"/>
          <w:b/>
        </w:rPr>
        <w:t>las unidades de transparencia determinen la notoria incompetencia por parte de los sujetos obligados,</w:t>
      </w:r>
      <w:r w:rsidRPr="006C76CB">
        <w:rPr>
          <w:rFonts w:ascii="Palatino Linotype" w:hAnsi="Palatino Linotype" w:cs="Tahoma"/>
        </w:rPr>
        <w:t xml:space="preserve"> dentro del ámbito de aplicación, para atender la solicitud de acceso a la información, </w:t>
      </w:r>
      <w:r w:rsidRPr="006C76CB">
        <w:rPr>
          <w:rFonts w:ascii="Palatino Linotype" w:hAnsi="Palatino Linotype" w:cs="Tahoma"/>
          <w:b/>
        </w:rPr>
        <w:t>deberán comunicarlo al solicitante;</w:t>
      </w:r>
    </w:p>
    <w:p w:rsidR="009E0861" w:rsidRPr="006C76CB" w:rsidRDefault="009E0861" w:rsidP="006C76CB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Que, cuando los sujetos obligados consideren que los documentos o la información deben ser clasificados, </w:t>
      </w:r>
      <w:r w:rsidRPr="006C76CB">
        <w:rPr>
          <w:rFonts w:ascii="Palatino Linotype" w:hAnsi="Palatino Linotype" w:cs="Tahoma"/>
          <w:u w:val="single"/>
        </w:rPr>
        <w:t>el Comité de Transparencia deberá resolver para confirmar, modificar o revocar la clasificación</w:t>
      </w:r>
      <w:r w:rsidRPr="006C76CB">
        <w:rPr>
          <w:rFonts w:ascii="Palatino Linotype" w:hAnsi="Palatino Linotype" w:cs="Tahoma"/>
        </w:rPr>
        <w:t>, notificando dicha resolución al solicitante; y,</w:t>
      </w:r>
    </w:p>
    <w:p w:rsidR="009E0861" w:rsidRPr="006C76CB" w:rsidRDefault="009E0861" w:rsidP="006C76CB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Que</w:t>
      </w:r>
      <w:r w:rsidR="00097988" w:rsidRPr="006C76CB">
        <w:rPr>
          <w:rFonts w:ascii="Palatino Linotype" w:hAnsi="Palatino Linotype" w:cs="Tahoma"/>
        </w:rPr>
        <w:t>,</w:t>
      </w:r>
      <w:r w:rsidRPr="006C76CB">
        <w:rPr>
          <w:rFonts w:ascii="Palatino Linotype" w:hAnsi="Palatino Linotype" w:cs="Tahoma"/>
        </w:rPr>
        <w:t xml:space="preserve"> cuando la información no se encuentre en los archivos del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, el </w:t>
      </w:r>
      <w:r w:rsidRPr="006C76CB">
        <w:rPr>
          <w:rFonts w:ascii="Palatino Linotype" w:hAnsi="Palatino Linotype" w:cs="Tahoma"/>
          <w:u w:val="single"/>
        </w:rPr>
        <w:t>Comité de Transparencia expedirá una resolución que confirme la inexistencia</w:t>
      </w:r>
      <w:r w:rsidRPr="006C76CB">
        <w:rPr>
          <w:rFonts w:ascii="Palatino Linotype" w:hAnsi="Palatino Linotype" w:cs="Tahoma"/>
        </w:rPr>
        <w:t xml:space="preserve"> del documento y la notificara al solicitante.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Así pues, de lo anterior se desprende que los </w:t>
      </w:r>
      <w:r w:rsidRPr="006C76CB">
        <w:rPr>
          <w:rFonts w:ascii="Palatino Linotype" w:hAnsi="Palatino Linotype" w:cs="Tahoma"/>
          <w:b/>
        </w:rPr>
        <w:t>Comités de Transparencia</w:t>
      </w:r>
      <w:r w:rsidRPr="006C76CB">
        <w:rPr>
          <w:rFonts w:ascii="Palatino Linotype" w:hAnsi="Palatino Linotype" w:cs="Tahoma"/>
        </w:rPr>
        <w:t xml:space="preserve"> se encuentran obligados a emitir una </w:t>
      </w:r>
      <w:r w:rsidRPr="006C76CB">
        <w:rPr>
          <w:rFonts w:ascii="Palatino Linotype" w:hAnsi="Palatino Linotype" w:cs="Tahoma"/>
          <w:b/>
        </w:rPr>
        <w:t>resolución</w:t>
      </w:r>
      <w:r w:rsidRPr="006C76CB">
        <w:rPr>
          <w:rFonts w:ascii="Palatino Linotype" w:hAnsi="Palatino Linotype" w:cs="Tahoma"/>
        </w:rPr>
        <w:t xml:space="preserve"> al acaecer dos supuestos: (i) que la información solicitada resulte clasificada y, (</w:t>
      </w:r>
      <w:proofErr w:type="spellStart"/>
      <w:r w:rsidRPr="006C76CB">
        <w:rPr>
          <w:rFonts w:ascii="Palatino Linotype" w:hAnsi="Palatino Linotype" w:cs="Tahoma"/>
        </w:rPr>
        <w:t>ii</w:t>
      </w:r>
      <w:proofErr w:type="spellEnd"/>
      <w:r w:rsidRPr="006C76CB">
        <w:rPr>
          <w:rFonts w:ascii="Palatino Linotype" w:hAnsi="Palatino Linotype" w:cs="Tahoma"/>
        </w:rPr>
        <w:t xml:space="preserve">) que la información solicitada no se encuentre en los archivos del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 xml:space="preserve">; quedando en el ámbito de la </w:t>
      </w:r>
      <w:r w:rsidRPr="006C76CB">
        <w:rPr>
          <w:rFonts w:ascii="Palatino Linotype" w:hAnsi="Palatino Linotype" w:cs="Tahoma"/>
          <w:b/>
        </w:rPr>
        <w:t>Unidad de Transparencia la declaración de incompetencia</w:t>
      </w:r>
      <w:r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Por tanto, adminiculando lo dispuesto por el Título Segundo con lo establecido por el Titulo Sé</w:t>
      </w:r>
      <w:r w:rsidR="00447F6F" w:rsidRPr="006C76CB">
        <w:rPr>
          <w:rFonts w:ascii="Palatino Linotype" w:hAnsi="Palatino Linotype" w:cs="Tahoma"/>
        </w:rPr>
        <w:t>p</w:t>
      </w:r>
      <w:r w:rsidRPr="006C76CB">
        <w:rPr>
          <w:rFonts w:ascii="Palatino Linotype" w:hAnsi="Palatino Linotype" w:cs="Tahoma"/>
        </w:rPr>
        <w:t>timo</w:t>
      </w:r>
      <w:r w:rsidR="00BF1384" w:rsidRPr="006C76CB">
        <w:rPr>
          <w:rFonts w:ascii="Palatino Linotype" w:hAnsi="Palatino Linotype" w:cs="Tahoma"/>
        </w:rPr>
        <w:t xml:space="preserve"> de la Ley en cita</w:t>
      </w:r>
      <w:r w:rsidRPr="006C76CB">
        <w:rPr>
          <w:rFonts w:ascii="Palatino Linotype" w:hAnsi="Palatino Linotype" w:cs="Tahoma"/>
        </w:rPr>
        <w:t xml:space="preserve">, se tiene que los Comités de Transparencia, como máxima autoridad </w:t>
      </w:r>
      <w:r w:rsidR="00097988" w:rsidRPr="006C76CB">
        <w:rPr>
          <w:rFonts w:ascii="Palatino Linotype" w:hAnsi="Palatino Linotype" w:cs="Tahoma"/>
        </w:rPr>
        <w:t xml:space="preserve">al interior del </w:t>
      </w:r>
      <w:r w:rsidR="009039FE" w:rsidRPr="006C76CB">
        <w:rPr>
          <w:rFonts w:ascii="Palatino Linotype" w:hAnsi="Palatino Linotype" w:cs="Tahoma"/>
        </w:rPr>
        <w:t>Sujeto Obligado</w:t>
      </w:r>
      <w:r w:rsidR="00097988" w:rsidRPr="006C76CB">
        <w:rPr>
          <w:rFonts w:ascii="Palatino Linotype" w:hAnsi="Palatino Linotype" w:cs="Tahoma"/>
        </w:rPr>
        <w:t>,</w:t>
      </w:r>
      <w:r w:rsidRPr="006C76CB">
        <w:rPr>
          <w:rFonts w:ascii="Palatino Linotype" w:hAnsi="Palatino Linotype" w:cs="Tahoma"/>
        </w:rPr>
        <w:t xml:space="preserve"> cuentan con atribuciones para revisar las determinaciones que efectúen los titulares de las áreas, en materia de ampliación del plazo de respuesta, clasificación de la información y declaración de inexistencia o de incompetencia, </w:t>
      </w:r>
      <w:r w:rsidRPr="006C76CB">
        <w:rPr>
          <w:rFonts w:ascii="Palatino Linotype" w:hAnsi="Palatino Linotype" w:cs="Tahoma"/>
          <w:u w:val="single"/>
        </w:rPr>
        <w:t>pero únicamente se encuentran obligados a emitir una resolución para su notificación al solicitante, cuando la información solicitada resulte clasificada o inexistente</w:t>
      </w:r>
      <w:r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En otras palabras, los Comités de Transparencia actúan en dos ámbitos, el primero: al interior del </w:t>
      </w:r>
      <w:r w:rsidR="009039FE" w:rsidRPr="006C76CB">
        <w:rPr>
          <w:rFonts w:ascii="Palatino Linotype" w:hAnsi="Palatino Linotype" w:cs="Tahoma"/>
        </w:rPr>
        <w:t>Sujeto Obligado</w:t>
      </w:r>
      <w:r w:rsidRPr="006C76CB">
        <w:rPr>
          <w:rFonts w:ascii="Palatino Linotype" w:hAnsi="Palatino Linotype" w:cs="Tahoma"/>
        </w:rPr>
        <w:t>, facultados para evitar la arbitrariedad y la toma de decisiones unilaterales en materia de transparencia por parte de los titulares de las áreas poseedoras de la información y, el segundo: al exterior, con la finalidad de brindar certeza jurídica a los solicitantes de que la máxima autoridad al interior de los sujetos obligados en materia de transparencia, conoció y resolvió sobre la clasificación o la inexistencia de la información.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Lo que lleva a concluir, que las atribuciones conferidas a los Comités de Transparencia para confirmar, modificar o revocar las determinaciones que en materia de ampliación del plazo de respuesta o de incompetencia, realicen los titulares de las áreas de los sujetos obligados, </w:t>
      </w:r>
      <w:r w:rsidRPr="006C76CB">
        <w:rPr>
          <w:rFonts w:ascii="Palatino Linotype" w:hAnsi="Palatino Linotype" w:cs="Tahoma"/>
        </w:rPr>
        <w:lastRenderedPageBreak/>
        <w:t xml:space="preserve">tienen como único fin evitar la arbitrariedad de las decisiones en materia de transparencia al interior de </w:t>
      </w:r>
      <w:r w:rsidR="00CE343C" w:rsidRPr="006C76CB">
        <w:rPr>
          <w:rFonts w:ascii="Palatino Linotype" w:hAnsi="Palatino Linotype" w:cs="Tahoma"/>
        </w:rPr>
        <w:t>estos</w:t>
      </w:r>
      <w:r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006F73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Por tanto, si bien</w:t>
      </w:r>
      <w:r w:rsidR="00D15D07" w:rsidRPr="006C76CB">
        <w:rPr>
          <w:rFonts w:ascii="Palatino Linotype" w:hAnsi="Palatino Linotype" w:cs="Tahoma"/>
        </w:rPr>
        <w:t xml:space="preserve"> destaca</w:t>
      </w:r>
      <w:r w:rsidR="009E0861" w:rsidRPr="006C76CB">
        <w:rPr>
          <w:rFonts w:ascii="Palatino Linotype" w:hAnsi="Palatino Linotype" w:cs="Tahoma"/>
        </w:rPr>
        <w:t xml:space="preserve"> que el propósito de mis colegas cuando instruyen al Comité de Transparencia emitir una resolución de incompetencia, ha sido dotar de plena certeza jurídica la respuesta a una solicitud de información</w:t>
      </w:r>
      <w:r w:rsidR="00D15D07" w:rsidRPr="006C76CB">
        <w:rPr>
          <w:rFonts w:ascii="Palatino Linotype" w:hAnsi="Palatino Linotype" w:cs="Tahoma"/>
        </w:rPr>
        <w:t>;</w:t>
      </w:r>
      <w:r w:rsidR="009E0861" w:rsidRPr="006C76CB">
        <w:rPr>
          <w:rFonts w:ascii="Palatino Linotype" w:hAnsi="Palatino Linotype" w:cs="Tahoma"/>
        </w:rPr>
        <w:t xml:space="preserve"> lo cierto es</w:t>
      </w:r>
      <w:r w:rsidR="00D15D07" w:rsidRPr="006C76CB">
        <w:rPr>
          <w:rFonts w:ascii="Palatino Linotype" w:hAnsi="Palatino Linotype" w:cs="Tahoma"/>
        </w:rPr>
        <w:t>,</w:t>
      </w:r>
      <w:r w:rsidR="009E0861" w:rsidRPr="006C76CB">
        <w:rPr>
          <w:rFonts w:ascii="Palatino Linotype" w:hAnsi="Palatino Linotype" w:cs="Tahoma"/>
        </w:rPr>
        <w:t xml:space="preserve"> que </w:t>
      </w:r>
      <w:r w:rsidR="00A96933" w:rsidRPr="006C76CB">
        <w:rPr>
          <w:rFonts w:ascii="Palatino Linotype" w:hAnsi="Palatino Linotype" w:cs="Tahoma"/>
        </w:rPr>
        <w:t xml:space="preserve">cuando la misma deviene del marco normativo del </w:t>
      </w:r>
      <w:r w:rsidR="009039FE" w:rsidRPr="006C76CB">
        <w:rPr>
          <w:rFonts w:ascii="Palatino Linotype" w:hAnsi="Palatino Linotype" w:cs="Tahoma"/>
        </w:rPr>
        <w:t>Sujeto Obligado</w:t>
      </w:r>
      <w:r w:rsidR="00A96933" w:rsidRPr="006C76CB">
        <w:rPr>
          <w:rFonts w:ascii="Palatino Linotype" w:hAnsi="Palatino Linotype" w:cs="Tahoma"/>
        </w:rPr>
        <w:t xml:space="preserve"> y además que </w:t>
      </w:r>
      <w:r w:rsidRPr="006C76CB">
        <w:rPr>
          <w:rFonts w:ascii="Palatino Linotype" w:hAnsi="Palatino Linotype" w:cs="Tahoma"/>
        </w:rPr>
        <w:t>l</w:t>
      </w:r>
      <w:r w:rsidR="009E0861" w:rsidRPr="006C76CB">
        <w:rPr>
          <w:rFonts w:ascii="Palatino Linotype" w:hAnsi="Palatino Linotype" w:cs="Tahoma"/>
        </w:rPr>
        <w:t xml:space="preserve">a resolución elaborada por </w:t>
      </w:r>
      <w:r w:rsidR="00624DE5" w:rsidRPr="006C76CB">
        <w:rPr>
          <w:rFonts w:ascii="Palatino Linotype" w:hAnsi="Palatino Linotype" w:cs="Tahoma"/>
        </w:rPr>
        <w:t>e</w:t>
      </w:r>
      <w:r w:rsidR="009E0861" w:rsidRPr="006C76CB">
        <w:rPr>
          <w:rFonts w:ascii="Palatino Linotype" w:hAnsi="Palatino Linotype" w:cs="Tahoma"/>
        </w:rPr>
        <w:t>l Comisionad</w:t>
      </w:r>
      <w:r w:rsidR="00624DE5" w:rsidRPr="006C76CB">
        <w:rPr>
          <w:rFonts w:ascii="Palatino Linotype" w:hAnsi="Palatino Linotype" w:cs="Tahoma"/>
        </w:rPr>
        <w:t>o</w:t>
      </w:r>
      <w:r w:rsidR="009E0861" w:rsidRPr="006C76CB">
        <w:rPr>
          <w:rFonts w:ascii="Palatino Linotype" w:hAnsi="Palatino Linotype" w:cs="Tahoma"/>
        </w:rPr>
        <w:t xml:space="preserve"> Ponente contiene todos los elementos para dotar de plena certeza jurídica al </w:t>
      </w:r>
      <w:r w:rsidRPr="006C76CB">
        <w:rPr>
          <w:rFonts w:ascii="Palatino Linotype" w:hAnsi="Palatino Linotype" w:cs="Tahoma"/>
        </w:rPr>
        <w:t>ahora recurrente</w:t>
      </w:r>
      <w:r w:rsidR="009E0861" w:rsidRPr="006C76CB">
        <w:rPr>
          <w:rFonts w:ascii="Palatino Linotype" w:hAnsi="Palatino Linotype" w:cs="Tahoma"/>
        </w:rPr>
        <w:t xml:space="preserve"> respecto de la incompetencia del </w:t>
      </w:r>
      <w:r w:rsidR="009039FE" w:rsidRPr="006C76CB">
        <w:rPr>
          <w:rFonts w:ascii="Palatino Linotype" w:hAnsi="Palatino Linotype" w:cs="Tahoma"/>
        </w:rPr>
        <w:t>Sujeto Obligado</w:t>
      </w:r>
      <w:r w:rsidR="009E0861" w:rsidRPr="006C76CB">
        <w:rPr>
          <w:rFonts w:ascii="Palatino Linotype" w:hAnsi="Palatino Linotype" w:cs="Tahoma"/>
        </w:rPr>
        <w:t xml:space="preserve"> para contar con la información </w:t>
      </w:r>
      <w:r w:rsidR="001A6BD9" w:rsidRPr="006C76CB">
        <w:rPr>
          <w:rFonts w:ascii="Palatino Linotype" w:hAnsi="Palatino Linotype" w:cs="Tahoma"/>
        </w:rPr>
        <w:t>materia de la solicitud</w:t>
      </w:r>
      <w:r w:rsidR="009E0861" w:rsidRPr="006C76CB">
        <w:rPr>
          <w:rFonts w:ascii="Palatino Linotype" w:hAnsi="Palatino Linotype" w:cs="Tahoma"/>
        </w:rPr>
        <w:t>, aunado a que</w:t>
      </w:r>
      <w:r w:rsidR="001A6BD9" w:rsidRPr="006C76CB">
        <w:rPr>
          <w:rFonts w:ascii="Palatino Linotype" w:hAnsi="Palatino Linotype" w:cs="Tahoma"/>
        </w:rPr>
        <w:t xml:space="preserve"> dicha incompetencia</w:t>
      </w:r>
      <w:r w:rsidR="009E0861" w:rsidRPr="006C76CB">
        <w:rPr>
          <w:rFonts w:ascii="Palatino Linotype" w:hAnsi="Palatino Linotype" w:cs="Tahoma"/>
        </w:rPr>
        <w:t xml:space="preserve"> fue validada por unanimidad por los integrantes del Pleno de este Instituto, máxima autoridad local en el derecho de acceso a la información; </w:t>
      </w:r>
      <w:r w:rsidR="001A6BD9" w:rsidRPr="006C76CB">
        <w:rPr>
          <w:rFonts w:ascii="Palatino Linotype" w:hAnsi="Palatino Linotype" w:cs="Tahoma"/>
        </w:rPr>
        <w:t xml:space="preserve">se </w:t>
      </w:r>
      <w:r w:rsidRPr="006C76CB">
        <w:rPr>
          <w:rFonts w:ascii="Palatino Linotype" w:hAnsi="Palatino Linotype" w:cs="Tahoma"/>
        </w:rPr>
        <w:t>vuelve</w:t>
      </w:r>
      <w:r w:rsidR="009E0861" w:rsidRPr="006C76CB">
        <w:rPr>
          <w:rFonts w:ascii="Palatino Linotype" w:hAnsi="Palatino Linotype" w:cs="Tahoma"/>
        </w:rPr>
        <w:t xml:space="preserve"> innecesaria una resolución por parte de un Comité de Transparencia</w:t>
      </w:r>
      <w:r w:rsidR="001A6BD9" w:rsidRPr="006C76CB">
        <w:rPr>
          <w:rFonts w:ascii="Palatino Linotype" w:hAnsi="Palatino Linotype" w:cs="Tahoma"/>
        </w:rPr>
        <w:t xml:space="preserve"> de menor jerarquía</w:t>
      </w:r>
      <w:r w:rsidR="009E0861" w:rsidRPr="006C76CB">
        <w:rPr>
          <w:rFonts w:ascii="Palatino Linotype" w:hAnsi="Palatino Linotype" w:cs="Tahoma"/>
        </w:rPr>
        <w:t>.</w:t>
      </w: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6C76CB" w:rsidRDefault="00A96933" w:rsidP="006C76CB">
      <w:pPr>
        <w:spacing w:after="0" w:line="360" w:lineRule="auto"/>
        <w:jc w:val="both"/>
        <w:rPr>
          <w:rFonts w:ascii="Palatino Linotype" w:hAnsi="Palatino Linotype" w:cs="Tahoma"/>
          <w:spacing w:val="-4"/>
        </w:rPr>
      </w:pPr>
      <w:r w:rsidRPr="006C76CB">
        <w:rPr>
          <w:rFonts w:ascii="Palatino Linotype" w:hAnsi="Palatino Linotype" w:cs="Tahoma"/>
          <w:spacing w:val="-4"/>
        </w:rPr>
        <w:t>Interpretar la norma en sentido</w:t>
      </w:r>
      <w:r w:rsidR="009E0861" w:rsidRPr="006C76CB">
        <w:rPr>
          <w:rFonts w:ascii="Palatino Linotype" w:hAnsi="Palatino Linotype" w:cs="Tahoma"/>
          <w:spacing w:val="-4"/>
        </w:rPr>
        <w:t xml:space="preserve"> contrario, </w:t>
      </w:r>
      <w:r w:rsidRPr="006C76CB">
        <w:rPr>
          <w:rFonts w:ascii="Palatino Linotype" w:hAnsi="Palatino Linotype" w:cs="Tahoma"/>
          <w:spacing w:val="-4"/>
        </w:rPr>
        <w:t xml:space="preserve">propicia dilatar la entrega de respuestas a los solicitantes, ya que los Sujetos Obligados, </w:t>
      </w:r>
      <w:r w:rsidR="009E0861" w:rsidRPr="006C76CB">
        <w:rPr>
          <w:rFonts w:ascii="Palatino Linotype" w:hAnsi="Palatino Linotype" w:cs="Tahoma"/>
          <w:spacing w:val="-4"/>
        </w:rPr>
        <w:t xml:space="preserve">con la finalidad </w:t>
      </w:r>
      <w:r w:rsidRPr="006C76CB">
        <w:rPr>
          <w:rFonts w:ascii="Palatino Linotype" w:hAnsi="Palatino Linotype" w:cs="Tahoma"/>
          <w:spacing w:val="-4"/>
        </w:rPr>
        <w:t>emitir l</w:t>
      </w:r>
      <w:r w:rsidR="009E0861" w:rsidRPr="006C76CB">
        <w:rPr>
          <w:rFonts w:ascii="Palatino Linotype" w:hAnsi="Palatino Linotype" w:cs="Tahoma"/>
          <w:spacing w:val="-4"/>
        </w:rPr>
        <w:t xml:space="preserve">a resolución </w:t>
      </w:r>
      <w:r w:rsidRPr="006C76CB">
        <w:rPr>
          <w:rFonts w:ascii="Palatino Linotype" w:hAnsi="Palatino Linotype" w:cs="Tahoma"/>
          <w:spacing w:val="-4"/>
        </w:rPr>
        <w:t xml:space="preserve">respectiva, podrían agotar el plazo de quince días para responder o incluso el plazo de la ampliación, </w:t>
      </w:r>
      <w:r w:rsidR="00D45BDF" w:rsidRPr="006C76CB">
        <w:rPr>
          <w:rFonts w:ascii="Palatino Linotype" w:hAnsi="Palatino Linotype" w:cs="Tahoma"/>
          <w:spacing w:val="-4"/>
        </w:rPr>
        <w:t>sólo con la finalidad de</w:t>
      </w:r>
      <w:r w:rsidR="009E0861" w:rsidRPr="006C76CB">
        <w:rPr>
          <w:rFonts w:ascii="Palatino Linotype" w:hAnsi="Palatino Linotype" w:cs="Tahoma"/>
          <w:spacing w:val="-4"/>
        </w:rPr>
        <w:t xml:space="preserve"> que el Comité de Transparen</w:t>
      </w:r>
      <w:r w:rsidRPr="006C76CB">
        <w:rPr>
          <w:rFonts w:ascii="Palatino Linotype" w:hAnsi="Palatino Linotype" w:cs="Tahoma"/>
          <w:spacing w:val="-4"/>
        </w:rPr>
        <w:t xml:space="preserve">cia pueda sesionar y </w:t>
      </w:r>
      <w:r w:rsidR="00D45BDF" w:rsidRPr="006C76CB">
        <w:rPr>
          <w:rFonts w:ascii="Palatino Linotype" w:hAnsi="Palatino Linotype" w:cs="Tahoma"/>
          <w:spacing w:val="-4"/>
        </w:rPr>
        <w:t>emitir el Acuerdo correspondiente</w:t>
      </w:r>
      <w:r w:rsidR="0014038B" w:rsidRPr="006C76CB">
        <w:rPr>
          <w:rFonts w:ascii="Palatino Linotype" w:hAnsi="Palatino Linotype" w:cs="Tahoma"/>
          <w:spacing w:val="-4"/>
        </w:rPr>
        <w:t>;</w:t>
      </w:r>
      <w:r w:rsidR="00245ACA" w:rsidRPr="006C76CB">
        <w:rPr>
          <w:rFonts w:ascii="Palatino Linotype" w:hAnsi="Palatino Linotype" w:cs="Tahoma"/>
          <w:spacing w:val="-4"/>
        </w:rPr>
        <w:t xml:space="preserve"> </w:t>
      </w:r>
      <w:r w:rsidR="00D45BDF" w:rsidRPr="006C76CB">
        <w:rPr>
          <w:rFonts w:ascii="Palatino Linotype" w:hAnsi="Palatino Linotype" w:cs="Tahoma"/>
          <w:spacing w:val="-4"/>
        </w:rPr>
        <w:t xml:space="preserve">situación </w:t>
      </w:r>
      <w:r w:rsidR="009E0861" w:rsidRPr="006C76CB">
        <w:rPr>
          <w:rFonts w:ascii="Palatino Linotype" w:hAnsi="Palatino Linotype" w:cs="Tahoma"/>
          <w:spacing w:val="-4"/>
        </w:rPr>
        <w:t xml:space="preserve">que, finalmente, en nada beneficia al solicitante, pues </w:t>
      </w:r>
      <w:r w:rsidR="00D45BDF" w:rsidRPr="006C76CB">
        <w:rPr>
          <w:rFonts w:ascii="Palatino Linotype" w:hAnsi="Palatino Linotype" w:cs="Tahoma"/>
          <w:spacing w:val="-4"/>
        </w:rPr>
        <w:t xml:space="preserve">este </w:t>
      </w:r>
      <w:r w:rsidR="009E0861" w:rsidRPr="006C76CB">
        <w:rPr>
          <w:rFonts w:ascii="Palatino Linotype" w:hAnsi="Palatino Linotype" w:cs="Tahoma"/>
          <w:spacing w:val="-4"/>
        </w:rPr>
        <w:t>continua</w:t>
      </w:r>
      <w:r w:rsidR="00D45BDF" w:rsidRPr="006C76CB">
        <w:rPr>
          <w:rFonts w:ascii="Palatino Linotype" w:hAnsi="Palatino Linotype" w:cs="Tahoma"/>
          <w:spacing w:val="-4"/>
        </w:rPr>
        <w:t>rá</w:t>
      </w:r>
      <w:r w:rsidR="009E0861" w:rsidRPr="006C76CB">
        <w:rPr>
          <w:rFonts w:ascii="Palatino Linotype" w:hAnsi="Palatino Linotype" w:cs="Tahoma"/>
          <w:spacing w:val="-4"/>
        </w:rPr>
        <w:t xml:space="preserve"> sin recibir la información que es de su interés.</w:t>
      </w:r>
    </w:p>
    <w:p w:rsidR="0036006F" w:rsidRPr="006C76CB" w:rsidRDefault="0036006F" w:rsidP="006C76CB">
      <w:pPr>
        <w:spacing w:after="0" w:line="360" w:lineRule="auto"/>
        <w:jc w:val="both"/>
        <w:rPr>
          <w:rFonts w:ascii="Palatino Linotype" w:hAnsi="Palatino Linotype" w:cs="Tahoma"/>
          <w:spacing w:val="-4"/>
        </w:rPr>
      </w:pPr>
    </w:p>
    <w:p w:rsidR="009E0861" w:rsidRPr="006C76CB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Por ello, considero que los principios de sencillez y rapidez que deben regir el procedimiento de acceso a la información, tienen que ser observados en todas las determin</w:t>
      </w:r>
      <w:r w:rsidR="004A555E" w:rsidRPr="006C76CB">
        <w:rPr>
          <w:rFonts w:ascii="Palatino Linotype" w:hAnsi="Palatino Linotype" w:cs="Tahoma"/>
        </w:rPr>
        <w:t>aciones que tome este Instituto; e</w:t>
      </w:r>
      <w:r w:rsidRPr="006C76CB">
        <w:rPr>
          <w:rFonts w:ascii="Palatino Linotype" w:hAnsi="Palatino Linotype" w:cs="Tahoma"/>
        </w:rPr>
        <w:t>n ese sentido, omitir la instrucción para que el Comité de Transparencia emita una resolución confirmando la incompetencia, evita que los sujetos obligados generen procedimientos dilatorios en la atención de las s</w:t>
      </w:r>
      <w:r w:rsidR="0014038B" w:rsidRPr="006C76CB">
        <w:rPr>
          <w:rFonts w:ascii="Palatino Linotype" w:hAnsi="Palatino Linotype" w:cs="Tahoma"/>
        </w:rPr>
        <w:t xml:space="preserve">olicitudes de </w:t>
      </w:r>
      <w:r w:rsidR="0014038B" w:rsidRPr="006C76CB">
        <w:rPr>
          <w:rFonts w:ascii="Palatino Linotype" w:hAnsi="Palatino Linotype" w:cs="Tahoma"/>
        </w:rPr>
        <w:lastRenderedPageBreak/>
        <w:t>acceso y permite a</w:t>
      </w:r>
      <w:r w:rsidRPr="006C76CB">
        <w:rPr>
          <w:rFonts w:ascii="Palatino Linotype" w:hAnsi="Palatino Linotype" w:cs="Tahoma"/>
        </w:rPr>
        <w:t>l ciudadano emprender de nueva cuenta, en un menor tiempo, el procedimiento para hacerse de la información que le interesa ante la autoridad que sí es competente para poseerla.</w:t>
      </w:r>
    </w:p>
    <w:p w:rsidR="00767DA9" w:rsidRDefault="00767DA9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Default="009E0861" w:rsidP="006C76CB">
      <w:pPr>
        <w:spacing w:after="0" w:line="360" w:lineRule="auto"/>
        <w:jc w:val="both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 xml:space="preserve">Así, con base en los razonamientos expuestos, </w:t>
      </w:r>
      <w:r w:rsidRPr="006C76CB">
        <w:rPr>
          <w:rFonts w:ascii="Palatino Linotype" w:hAnsi="Palatino Linotype" w:cs="Tahoma"/>
          <w:b/>
        </w:rPr>
        <w:t>se emite el presente Voto Particular</w:t>
      </w:r>
      <w:r w:rsidRPr="006C76CB">
        <w:rPr>
          <w:rFonts w:ascii="Palatino Linotype" w:hAnsi="Palatino Linotype" w:cs="Tahoma"/>
        </w:rPr>
        <w:t>.</w:t>
      </w:r>
    </w:p>
    <w:p w:rsidR="00041B19" w:rsidRDefault="00041B19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041B19" w:rsidRPr="006C76CB" w:rsidRDefault="00041B19" w:rsidP="006C76CB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553ADE" w:rsidRPr="006C76CB" w:rsidRDefault="00553ADE" w:rsidP="006C76CB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  <w:b/>
        </w:rPr>
        <w:t>(Rúbrica)</w:t>
      </w:r>
    </w:p>
    <w:p w:rsidR="00553ADE" w:rsidRPr="006C76CB" w:rsidRDefault="00553ADE" w:rsidP="006C76CB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6C76CB">
        <w:rPr>
          <w:rFonts w:ascii="Palatino Linotype" w:hAnsi="Palatino Linotype" w:cs="Tahoma"/>
          <w:b/>
        </w:rPr>
        <w:t>Luis Gustavo Parra Noriega</w:t>
      </w:r>
    </w:p>
    <w:p w:rsidR="003512C9" w:rsidRPr="006C76CB" w:rsidRDefault="00553ADE" w:rsidP="006C76CB">
      <w:pPr>
        <w:spacing w:after="0" w:line="360" w:lineRule="auto"/>
        <w:jc w:val="center"/>
        <w:rPr>
          <w:rFonts w:ascii="Palatino Linotype" w:hAnsi="Palatino Linotype" w:cs="Tahoma"/>
        </w:rPr>
      </w:pPr>
      <w:r w:rsidRPr="006C76CB">
        <w:rPr>
          <w:rFonts w:ascii="Palatino Linotype" w:hAnsi="Palatino Linotype" w:cs="Tahoma"/>
        </w:rPr>
        <w:t>Comisionado</w:t>
      </w:r>
    </w:p>
    <w:sectPr w:rsidR="003512C9" w:rsidRPr="006C76CB" w:rsidSect="00950355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1F5" w:rsidRDefault="00F201F5" w:rsidP="00EE29F6">
      <w:pPr>
        <w:spacing w:after="0" w:line="240" w:lineRule="auto"/>
      </w:pPr>
      <w:r>
        <w:separator/>
      </w:r>
    </w:p>
  </w:endnote>
  <w:endnote w:type="continuationSeparator" w:id="0">
    <w:p w:rsidR="00F201F5" w:rsidRDefault="00F201F5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479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C333A" w:rsidRDefault="00AC333A">
            <w:pPr>
              <w:pStyle w:val="Piedepgina"/>
              <w:jc w:val="center"/>
            </w:pPr>
            <w:r>
              <w:t xml:space="preserve">Página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041B19">
              <w:rPr>
                <w:b/>
                <w:bCs/>
                <w:noProof/>
              </w:rPr>
              <w:t>5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041B19">
              <w:rPr>
                <w:b/>
                <w:bCs/>
                <w:noProof/>
              </w:rPr>
              <w:t>6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333A" w:rsidRDefault="00AC33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1F5" w:rsidRDefault="00F201F5" w:rsidP="00EE29F6">
      <w:pPr>
        <w:spacing w:after="0" w:line="240" w:lineRule="auto"/>
      </w:pPr>
      <w:r>
        <w:separator/>
      </w:r>
    </w:p>
  </w:footnote>
  <w:footnote w:type="continuationSeparator" w:id="0">
    <w:p w:rsidR="00F201F5" w:rsidRDefault="00F201F5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0"/>
      <w:gridCol w:w="6237"/>
    </w:tblGrid>
    <w:tr w:rsidR="0077694E" w:rsidRPr="001106EA" w:rsidTr="00543DF4">
      <w:trPr>
        <w:trHeight w:val="1843"/>
      </w:trPr>
      <w:tc>
        <w:tcPr>
          <w:tcW w:w="2830" w:type="dxa"/>
          <w:vAlign w:val="bottom"/>
        </w:tcPr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inline distT="0" distB="0" distL="0" distR="0">
                <wp:extent cx="1873633" cy="112654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633" cy="1126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</w:pPr>
        </w:p>
      </w:tc>
      <w:tc>
        <w:tcPr>
          <w:tcW w:w="6237" w:type="dxa"/>
          <w:vAlign w:val="center"/>
        </w:tcPr>
        <w:p w:rsidR="001106EA" w:rsidRPr="00B9745A" w:rsidRDefault="001106EA" w:rsidP="001106EA">
          <w:pPr>
            <w:pStyle w:val="Encabezado"/>
            <w:ind w:left="-108" w:right="-250"/>
            <w:jc w:val="both"/>
            <w:rPr>
              <w:rFonts w:ascii="Palatino Linotype" w:hAnsi="Palatino Linotype" w:cs="Tahoma"/>
            </w:rPr>
          </w:pPr>
        </w:p>
        <w:p w:rsidR="001106EA" w:rsidRPr="00B9745A" w:rsidRDefault="001106EA" w:rsidP="001106EA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B9745A">
            <w:rPr>
              <w:rFonts w:ascii="Palatino Linotype" w:hAnsi="Palatino Linotype" w:cs="Tahoma"/>
              <w:b/>
            </w:rPr>
            <w:t>Voto Particular</w:t>
          </w:r>
        </w:p>
        <w:p w:rsidR="0077694E" w:rsidRPr="00B9745A" w:rsidRDefault="001106EA" w:rsidP="00962B86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B9745A">
            <w:rPr>
              <w:rFonts w:ascii="Palatino Linotype" w:hAnsi="Palatino Linotype" w:cs="Tahoma"/>
              <w:b/>
            </w:rPr>
            <w:t>Recurso de Revisión: 0</w:t>
          </w:r>
          <w:r w:rsidR="00500949" w:rsidRPr="00B9745A">
            <w:rPr>
              <w:rFonts w:ascii="Palatino Linotype" w:hAnsi="Palatino Linotype" w:cs="Tahoma"/>
              <w:b/>
            </w:rPr>
            <w:t>3</w:t>
          </w:r>
          <w:r w:rsidR="006E1E37">
            <w:rPr>
              <w:rFonts w:ascii="Palatino Linotype" w:hAnsi="Palatino Linotype" w:cs="Tahoma"/>
              <w:b/>
            </w:rPr>
            <w:t>880</w:t>
          </w:r>
          <w:r w:rsidRPr="00B9745A">
            <w:rPr>
              <w:rFonts w:ascii="Palatino Linotype" w:hAnsi="Palatino Linotype" w:cs="Tahoma"/>
              <w:b/>
            </w:rPr>
            <w:t>/INFOEM/IP/RR/2018</w:t>
          </w:r>
          <w:r w:rsidR="001247C3" w:rsidRPr="00B9745A">
            <w:rPr>
              <w:rFonts w:ascii="Palatino Linotype" w:hAnsi="Palatino Linotype" w:cs="Tahoma"/>
              <w:b/>
            </w:rPr>
            <w:t xml:space="preserve"> </w:t>
          </w:r>
        </w:p>
        <w:p w:rsidR="006F754E" w:rsidRPr="001106EA" w:rsidRDefault="006F754E" w:rsidP="006E1E37">
          <w:pPr>
            <w:pStyle w:val="Encabezado"/>
            <w:ind w:left="-108" w:right="-250"/>
            <w:jc w:val="both"/>
            <w:rPr>
              <w:rFonts w:ascii="Tahoma" w:hAnsi="Tahoma" w:cs="Tahoma"/>
            </w:rPr>
          </w:pPr>
          <w:r w:rsidRPr="00B9745A">
            <w:rPr>
              <w:rFonts w:ascii="Palatino Linotype" w:hAnsi="Palatino Linotype" w:cs="Tahoma"/>
              <w:b/>
            </w:rPr>
            <w:t>Comisionad</w:t>
          </w:r>
          <w:r w:rsidR="001247C3" w:rsidRPr="00B9745A">
            <w:rPr>
              <w:rFonts w:ascii="Palatino Linotype" w:hAnsi="Palatino Linotype" w:cs="Tahoma"/>
              <w:b/>
            </w:rPr>
            <w:t>o</w:t>
          </w:r>
          <w:r w:rsidRPr="00B9745A">
            <w:rPr>
              <w:rFonts w:ascii="Palatino Linotype" w:hAnsi="Palatino Linotype" w:cs="Tahoma"/>
              <w:b/>
            </w:rPr>
            <w:t xml:space="preserve"> Ponente: </w:t>
          </w:r>
          <w:r w:rsidR="006E1E37">
            <w:rPr>
              <w:rFonts w:ascii="Palatino Linotype" w:hAnsi="Palatino Linotype" w:cs="Tahoma"/>
              <w:b/>
            </w:rPr>
            <w:t>Zulema Martínez Sánchez</w:t>
          </w:r>
        </w:p>
      </w:tc>
    </w:tr>
  </w:tbl>
  <w:p w:rsidR="00D55429" w:rsidRPr="001106EA" w:rsidRDefault="00D55429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780A"/>
    <w:multiLevelType w:val="hybridMultilevel"/>
    <w:tmpl w:val="AB1CBE76"/>
    <w:lvl w:ilvl="0" w:tplc="90E41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345"/>
    <w:multiLevelType w:val="hybridMultilevel"/>
    <w:tmpl w:val="0636BA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443C"/>
    <w:multiLevelType w:val="hybridMultilevel"/>
    <w:tmpl w:val="D44AC0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31484"/>
    <w:multiLevelType w:val="hybridMultilevel"/>
    <w:tmpl w:val="8B081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438F"/>
    <w:multiLevelType w:val="hybridMultilevel"/>
    <w:tmpl w:val="977CD68A"/>
    <w:lvl w:ilvl="0" w:tplc="B078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77C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F44A1"/>
    <w:multiLevelType w:val="hybridMultilevel"/>
    <w:tmpl w:val="3C68C5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33EDE"/>
    <w:multiLevelType w:val="hybridMultilevel"/>
    <w:tmpl w:val="0F627D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768EB"/>
    <w:multiLevelType w:val="hybridMultilevel"/>
    <w:tmpl w:val="85E40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76236"/>
    <w:multiLevelType w:val="hybridMultilevel"/>
    <w:tmpl w:val="70002C2C"/>
    <w:lvl w:ilvl="0" w:tplc="AEAA6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74828"/>
    <w:multiLevelType w:val="hybridMultilevel"/>
    <w:tmpl w:val="D95AD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F5798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90414"/>
    <w:multiLevelType w:val="hybridMultilevel"/>
    <w:tmpl w:val="4FE43A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343B2"/>
    <w:multiLevelType w:val="hybridMultilevel"/>
    <w:tmpl w:val="56742792"/>
    <w:lvl w:ilvl="0" w:tplc="6908EA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9D06758"/>
    <w:multiLevelType w:val="hybridMultilevel"/>
    <w:tmpl w:val="E0BE6E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94963"/>
    <w:multiLevelType w:val="hybridMultilevel"/>
    <w:tmpl w:val="22463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4"/>
  </w:num>
  <w:num w:numId="9">
    <w:abstractNumId w:val="10"/>
  </w:num>
  <w:num w:numId="10">
    <w:abstractNumId w:val="11"/>
  </w:num>
  <w:num w:numId="11">
    <w:abstractNumId w:val="12"/>
  </w:num>
  <w:num w:numId="12">
    <w:abstractNumId w:val="1"/>
  </w:num>
  <w:num w:numId="13">
    <w:abstractNumId w:val="6"/>
  </w:num>
  <w:num w:numId="14">
    <w:abstractNumId w:val="15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F6"/>
    <w:rsid w:val="00006F73"/>
    <w:rsid w:val="00020D08"/>
    <w:rsid w:val="0002627D"/>
    <w:rsid w:val="00026846"/>
    <w:rsid w:val="0002759D"/>
    <w:rsid w:val="000301C6"/>
    <w:rsid w:val="00031240"/>
    <w:rsid w:val="00041B19"/>
    <w:rsid w:val="0005256C"/>
    <w:rsid w:val="00060F74"/>
    <w:rsid w:val="0006561A"/>
    <w:rsid w:val="00087AC8"/>
    <w:rsid w:val="00097988"/>
    <w:rsid w:val="000A65BC"/>
    <w:rsid w:val="000B235B"/>
    <w:rsid w:val="000B7F6F"/>
    <w:rsid w:val="000C10B7"/>
    <w:rsid w:val="000D186F"/>
    <w:rsid w:val="0010688C"/>
    <w:rsid w:val="001106EA"/>
    <w:rsid w:val="00110BC3"/>
    <w:rsid w:val="001159DC"/>
    <w:rsid w:val="00116C1F"/>
    <w:rsid w:val="00116E1A"/>
    <w:rsid w:val="001247C3"/>
    <w:rsid w:val="00136AD8"/>
    <w:rsid w:val="0014038B"/>
    <w:rsid w:val="00140A57"/>
    <w:rsid w:val="0014736A"/>
    <w:rsid w:val="00162325"/>
    <w:rsid w:val="00164625"/>
    <w:rsid w:val="00164BFE"/>
    <w:rsid w:val="0018472D"/>
    <w:rsid w:val="00193AA8"/>
    <w:rsid w:val="00197A72"/>
    <w:rsid w:val="001A145C"/>
    <w:rsid w:val="001A6BD9"/>
    <w:rsid w:val="001C1C64"/>
    <w:rsid w:val="001F667B"/>
    <w:rsid w:val="00216BC4"/>
    <w:rsid w:val="00223F64"/>
    <w:rsid w:val="00231B68"/>
    <w:rsid w:val="00242C75"/>
    <w:rsid w:val="00243617"/>
    <w:rsid w:val="00243A13"/>
    <w:rsid w:val="00245ACA"/>
    <w:rsid w:val="00246FAF"/>
    <w:rsid w:val="0028037C"/>
    <w:rsid w:val="00280A9C"/>
    <w:rsid w:val="002816CB"/>
    <w:rsid w:val="00295BA5"/>
    <w:rsid w:val="002A138B"/>
    <w:rsid w:val="002A16CE"/>
    <w:rsid w:val="002A1727"/>
    <w:rsid w:val="002A2EE7"/>
    <w:rsid w:val="002C2405"/>
    <w:rsid w:val="002E5A1A"/>
    <w:rsid w:val="002F4E95"/>
    <w:rsid w:val="00322675"/>
    <w:rsid w:val="00333B7A"/>
    <w:rsid w:val="003512C9"/>
    <w:rsid w:val="0036006F"/>
    <w:rsid w:val="003A6218"/>
    <w:rsid w:val="003B6547"/>
    <w:rsid w:val="003B7A5E"/>
    <w:rsid w:val="003C0474"/>
    <w:rsid w:val="003C15F3"/>
    <w:rsid w:val="003F2426"/>
    <w:rsid w:val="003F48C2"/>
    <w:rsid w:val="0040139C"/>
    <w:rsid w:val="00412CB2"/>
    <w:rsid w:val="004211BB"/>
    <w:rsid w:val="00433746"/>
    <w:rsid w:val="00434C88"/>
    <w:rsid w:val="00435E69"/>
    <w:rsid w:val="0043730D"/>
    <w:rsid w:val="00445BDF"/>
    <w:rsid w:val="00447F6F"/>
    <w:rsid w:val="0045183E"/>
    <w:rsid w:val="0047538D"/>
    <w:rsid w:val="00490F50"/>
    <w:rsid w:val="004A4555"/>
    <w:rsid w:val="004A555E"/>
    <w:rsid w:val="004B08C4"/>
    <w:rsid w:val="004B532B"/>
    <w:rsid w:val="004B541F"/>
    <w:rsid w:val="004C4912"/>
    <w:rsid w:val="004C6E57"/>
    <w:rsid w:val="004E7007"/>
    <w:rsid w:val="00500949"/>
    <w:rsid w:val="00524DA5"/>
    <w:rsid w:val="00526DBD"/>
    <w:rsid w:val="00543DF4"/>
    <w:rsid w:val="00544812"/>
    <w:rsid w:val="00553ADE"/>
    <w:rsid w:val="00560A41"/>
    <w:rsid w:val="0056120D"/>
    <w:rsid w:val="00576423"/>
    <w:rsid w:val="00582CCB"/>
    <w:rsid w:val="00584D73"/>
    <w:rsid w:val="0059329D"/>
    <w:rsid w:val="005A2510"/>
    <w:rsid w:val="005B6967"/>
    <w:rsid w:val="005C094E"/>
    <w:rsid w:val="005C73EE"/>
    <w:rsid w:val="005D11C8"/>
    <w:rsid w:val="005D26CE"/>
    <w:rsid w:val="005E2798"/>
    <w:rsid w:val="00600164"/>
    <w:rsid w:val="00605683"/>
    <w:rsid w:val="006248F2"/>
    <w:rsid w:val="00624DE5"/>
    <w:rsid w:val="00645087"/>
    <w:rsid w:val="00654ACD"/>
    <w:rsid w:val="00657396"/>
    <w:rsid w:val="00681338"/>
    <w:rsid w:val="00682003"/>
    <w:rsid w:val="00684B16"/>
    <w:rsid w:val="006C76CB"/>
    <w:rsid w:val="006E1E37"/>
    <w:rsid w:val="006F5316"/>
    <w:rsid w:val="006F754E"/>
    <w:rsid w:val="00724F08"/>
    <w:rsid w:val="00730CD7"/>
    <w:rsid w:val="007378E2"/>
    <w:rsid w:val="00742A15"/>
    <w:rsid w:val="007468D5"/>
    <w:rsid w:val="00767DA9"/>
    <w:rsid w:val="0077694E"/>
    <w:rsid w:val="00793961"/>
    <w:rsid w:val="00796A29"/>
    <w:rsid w:val="007A2D13"/>
    <w:rsid w:val="007D3257"/>
    <w:rsid w:val="007D68AF"/>
    <w:rsid w:val="007F1C1D"/>
    <w:rsid w:val="007F7D80"/>
    <w:rsid w:val="0083166F"/>
    <w:rsid w:val="00836BC2"/>
    <w:rsid w:val="00856E29"/>
    <w:rsid w:val="00861757"/>
    <w:rsid w:val="00891412"/>
    <w:rsid w:val="008A0447"/>
    <w:rsid w:val="008A1DE1"/>
    <w:rsid w:val="008A3DA9"/>
    <w:rsid w:val="008B08C9"/>
    <w:rsid w:val="008E54E2"/>
    <w:rsid w:val="008F3B5A"/>
    <w:rsid w:val="009039FE"/>
    <w:rsid w:val="00922B2E"/>
    <w:rsid w:val="00927BD1"/>
    <w:rsid w:val="0093480E"/>
    <w:rsid w:val="00950355"/>
    <w:rsid w:val="00952B06"/>
    <w:rsid w:val="00954BF1"/>
    <w:rsid w:val="00962B86"/>
    <w:rsid w:val="00974836"/>
    <w:rsid w:val="009943E1"/>
    <w:rsid w:val="009A18B3"/>
    <w:rsid w:val="009B22ED"/>
    <w:rsid w:val="009B2C0B"/>
    <w:rsid w:val="009C0313"/>
    <w:rsid w:val="009D07E2"/>
    <w:rsid w:val="009D49BE"/>
    <w:rsid w:val="009E0861"/>
    <w:rsid w:val="009E41F7"/>
    <w:rsid w:val="009E704F"/>
    <w:rsid w:val="009F6E4A"/>
    <w:rsid w:val="00A364BA"/>
    <w:rsid w:val="00A5061A"/>
    <w:rsid w:val="00A5658F"/>
    <w:rsid w:val="00A67498"/>
    <w:rsid w:val="00A742D1"/>
    <w:rsid w:val="00A74475"/>
    <w:rsid w:val="00A87924"/>
    <w:rsid w:val="00A96933"/>
    <w:rsid w:val="00AA090B"/>
    <w:rsid w:val="00AB3E26"/>
    <w:rsid w:val="00AC333A"/>
    <w:rsid w:val="00AD25D5"/>
    <w:rsid w:val="00AF3B6B"/>
    <w:rsid w:val="00B068A1"/>
    <w:rsid w:val="00B263C5"/>
    <w:rsid w:val="00B67355"/>
    <w:rsid w:val="00B7393F"/>
    <w:rsid w:val="00B761B1"/>
    <w:rsid w:val="00B9745A"/>
    <w:rsid w:val="00BB6EE3"/>
    <w:rsid w:val="00BC4882"/>
    <w:rsid w:val="00BC55D2"/>
    <w:rsid w:val="00BD06FC"/>
    <w:rsid w:val="00BD4705"/>
    <w:rsid w:val="00BD5DBE"/>
    <w:rsid w:val="00BF1384"/>
    <w:rsid w:val="00C0131C"/>
    <w:rsid w:val="00C30FD6"/>
    <w:rsid w:val="00C31FEE"/>
    <w:rsid w:val="00C55FFC"/>
    <w:rsid w:val="00C75CE0"/>
    <w:rsid w:val="00CA7627"/>
    <w:rsid w:val="00CC68E1"/>
    <w:rsid w:val="00CD4339"/>
    <w:rsid w:val="00CE343C"/>
    <w:rsid w:val="00CE50F9"/>
    <w:rsid w:val="00CF11EE"/>
    <w:rsid w:val="00D02D93"/>
    <w:rsid w:val="00D05740"/>
    <w:rsid w:val="00D13875"/>
    <w:rsid w:val="00D15D07"/>
    <w:rsid w:val="00D160F2"/>
    <w:rsid w:val="00D32C2C"/>
    <w:rsid w:val="00D357E1"/>
    <w:rsid w:val="00D368A8"/>
    <w:rsid w:val="00D37CDC"/>
    <w:rsid w:val="00D45BDF"/>
    <w:rsid w:val="00D50D8F"/>
    <w:rsid w:val="00D51426"/>
    <w:rsid w:val="00D55429"/>
    <w:rsid w:val="00D65D0C"/>
    <w:rsid w:val="00D666D4"/>
    <w:rsid w:val="00D7239D"/>
    <w:rsid w:val="00D75FAE"/>
    <w:rsid w:val="00D77F63"/>
    <w:rsid w:val="00D9114A"/>
    <w:rsid w:val="00D96166"/>
    <w:rsid w:val="00DA11C0"/>
    <w:rsid w:val="00DC4A9C"/>
    <w:rsid w:val="00DF6CA0"/>
    <w:rsid w:val="00E145E1"/>
    <w:rsid w:val="00E26123"/>
    <w:rsid w:val="00E26DFC"/>
    <w:rsid w:val="00E34559"/>
    <w:rsid w:val="00E345D1"/>
    <w:rsid w:val="00E41481"/>
    <w:rsid w:val="00E416F8"/>
    <w:rsid w:val="00E45036"/>
    <w:rsid w:val="00E656C1"/>
    <w:rsid w:val="00E7538D"/>
    <w:rsid w:val="00E82F77"/>
    <w:rsid w:val="00E83683"/>
    <w:rsid w:val="00EA7E26"/>
    <w:rsid w:val="00EB7128"/>
    <w:rsid w:val="00EC6DDF"/>
    <w:rsid w:val="00EE29F6"/>
    <w:rsid w:val="00EF482C"/>
    <w:rsid w:val="00F011F6"/>
    <w:rsid w:val="00F14384"/>
    <w:rsid w:val="00F201F5"/>
    <w:rsid w:val="00F32B83"/>
    <w:rsid w:val="00F4155E"/>
    <w:rsid w:val="00FA177C"/>
    <w:rsid w:val="00FB3044"/>
    <w:rsid w:val="00FB59D6"/>
    <w:rsid w:val="00FB5C13"/>
    <w:rsid w:val="00FC1D9D"/>
    <w:rsid w:val="00FC1F32"/>
    <w:rsid w:val="00FD1849"/>
    <w:rsid w:val="00FD3150"/>
    <w:rsid w:val="00FD530D"/>
    <w:rsid w:val="00FF22F6"/>
    <w:rsid w:val="00FF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DDC90"/>
  <w15:docId w15:val="{C05CBA83-0314-4E17-A4C9-4E84278E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6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9F6"/>
  </w:style>
  <w:style w:type="paragraph" w:styleId="Piedepgina">
    <w:name w:val="footer"/>
    <w:basedOn w:val="Normal"/>
    <w:link w:val="Piedepgina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F6"/>
  </w:style>
  <w:style w:type="table" w:styleId="Tablaconcuadrcula">
    <w:name w:val="Table Grid"/>
    <w:basedOn w:val="Tablanormal"/>
    <w:uiPriority w:val="39"/>
    <w:rsid w:val="00EE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9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4DA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94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3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3E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15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E158C-2287-4D94-8CAD-908FBEA0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1472</Words>
  <Characters>8097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Sandra Ivette Razo De La Paz</cp:lastModifiedBy>
  <cp:revision>2</cp:revision>
  <cp:lastPrinted>2018-10-01T19:36:00Z</cp:lastPrinted>
  <dcterms:created xsi:type="dcterms:W3CDTF">2018-12-11T05:54:00Z</dcterms:created>
  <dcterms:modified xsi:type="dcterms:W3CDTF">2018-12-11T05:54:00Z</dcterms:modified>
</cp:coreProperties>
</file>